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Brian Ritterpusch</w:t>
      </w:r>
    </w:p>
    <w:p w:rsidR="00000000" w:rsidDel="00000000" w:rsidP="00000000" w:rsidRDefault="00000000" w:rsidRPr="00000000" w14:paraId="0000000F">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11/9/24</w:t>
      </w:r>
    </w:p>
    <w:p w:rsidR="00000000" w:rsidDel="00000000" w:rsidP="00000000" w:rsidRDefault="00000000" w:rsidRPr="00000000" w14:paraId="00000011">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NUR 402</w:t>
      </w:r>
    </w:p>
    <w:p w:rsidR="00000000" w:rsidDel="00000000" w:rsidP="00000000" w:rsidRDefault="00000000" w:rsidRPr="00000000" w14:paraId="00000013">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 Cave</w:t>
      </w:r>
    </w:p>
    <w:p w:rsidR="00000000" w:rsidDel="00000000" w:rsidP="00000000" w:rsidRDefault="00000000" w:rsidRPr="00000000" w14:paraId="00000015">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ind w:lef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Nurses and Public Policy: Becoming Change Agents for a Healthy and Just Society</w:t>
      </w:r>
    </w:p>
    <w:p w:rsidR="00000000" w:rsidDel="00000000" w:rsidP="00000000" w:rsidRDefault="00000000" w:rsidRPr="00000000" w14:paraId="0000001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Imagine a nursing unit had a vague goal of “decreasing falls.” The nurses are simply told “do everything you can to prevent falls.” Some nurses use bed alarms. Others put “fall risk” signs on the door. But there is no consistency; nothing set in stone. Consequently, the rate of falls is not decreasing. Now imagine the unit instead took the time to develop a plan- a goal to decrease falls by 10% by the end of the quarter. They also put into practice a specific action by requiring each patient admitted to have a falls risk evaluation assessment, and requiring the use of a bed alarm for any patient scoring above a certain mark. With a system in place, each staff member is on the same page, and each patient is receiving the same care- resulting in a decrease of falls. From this example, we can see creating positive change takes intentionality. We cannot merely expect things to improve on their own, but rather through the development of systematic, structured action- a specific plan, or policy. Policy could be described as planning and implementing the necessary means to obtain a specific end. </w:t>
      </w:r>
    </w:p>
    <w:p w:rsidR="00000000" w:rsidDel="00000000" w:rsidP="00000000" w:rsidRDefault="00000000" w:rsidRPr="00000000" w14:paraId="0000002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nurses, it’s important we understand the various levels of policy from micro to macro. A nurse, for example, may follow specific </w:t>
      </w:r>
      <w:r w:rsidDel="00000000" w:rsidR="00000000" w:rsidRPr="00000000">
        <w:rPr>
          <w:rFonts w:ascii="Times New Roman" w:cs="Times New Roman" w:eastAsia="Times New Roman" w:hAnsi="Times New Roman"/>
          <w:i w:val="1"/>
          <w:sz w:val="24"/>
          <w:szCs w:val="24"/>
          <w:rtl w:val="0"/>
        </w:rPr>
        <w:t xml:space="preserve">institutional</w:t>
      </w:r>
      <w:r w:rsidDel="00000000" w:rsidR="00000000" w:rsidRPr="00000000">
        <w:rPr>
          <w:rFonts w:ascii="Times New Roman" w:cs="Times New Roman" w:eastAsia="Times New Roman" w:hAnsi="Times New Roman"/>
          <w:sz w:val="24"/>
          <w:szCs w:val="24"/>
          <w:rtl w:val="0"/>
        </w:rPr>
        <w:t xml:space="preserve"> policies that create guidelines for their practice at a specific hospital (Anderson et al., 2018). On a broader level, they may also follow </w:t>
      </w:r>
      <w:r w:rsidDel="00000000" w:rsidR="00000000" w:rsidRPr="00000000">
        <w:rPr>
          <w:rFonts w:ascii="Times New Roman" w:cs="Times New Roman" w:eastAsia="Times New Roman" w:hAnsi="Times New Roman"/>
          <w:i w:val="1"/>
          <w:sz w:val="24"/>
          <w:szCs w:val="24"/>
          <w:rtl w:val="0"/>
        </w:rPr>
        <w:t xml:space="preserve">organizational</w:t>
      </w:r>
      <w:r w:rsidDel="00000000" w:rsidR="00000000" w:rsidRPr="00000000">
        <w:rPr>
          <w:rFonts w:ascii="Times New Roman" w:cs="Times New Roman" w:eastAsia="Times New Roman" w:hAnsi="Times New Roman"/>
          <w:sz w:val="24"/>
          <w:szCs w:val="24"/>
          <w:rtl w:val="0"/>
        </w:rPr>
        <w:t xml:space="preserve"> policies, which pertain to all nurses practicing in their state (Anderson et al., 2018). They may have patients that are recipients of </w:t>
      </w:r>
      <w:r w:rsidDel="00000000" w:rsidR="00000000" w:rsidRPr="00000000">
        <w:rPr>
          <w:rFonts w:ascii="Times New Roman" w:cs="Times New Roman" w:eastAsia="Times New Roman" w:hAnsi="Times New Roman"/>
          <w:i w:val="1"/>
          <w:sz w:val="24"/>
          <w:szCs w:val="24"/>
          <w:rtl w:val="0"/>
        </w:rPr>
        <w:t xml:space="preserve">social welfare</w:t>
      </w:r>
      <w:r w:rsidDel="00000000" w:rsidR="00000000" w:rsidRPr="00000000">
        <w:rPr>
          <w:rFonts w:ascii="Times New Roman" w:cs="Times New Roman" w:eastAsia="Times New Roman" w:hAnsi="Times New Roman"/>
          <w:sz w:val="24"/>
          <w:szCs w:val="24"/>
          <w:rtl w:val="0"/>
        </w:rPr>
        <w:t xml:space="preserve"> policies aiming to assist vulnerable communities through programs such as Women, Infants, and Children (WIC) or Temporary Assistance for Needy Families (TANF) (Anderson et al., 2018). The nurse may very well also take care of patients injured by not following </w:t>
      </w:r>
      <w:r w:rsidDel="00000000" w:rsidR="00000000" w:rsidRPr="00000000">
        <w:rPr>
          <w:rFonts w:ascii="Times New Roman" w:cs="Times New Roman" w:eastAsia="Times New Roman" w:hAnsi="Times New Roman"/>
          <w:i w:val="1"/>
          <w:sz w:val="24"/>
          <w:szCs w:val="24"/>
          <w:rtl w:val="0"/>
        </w:rPr>
        <w:t xml:space="preserve">public</w:t>
      </w:r>
      <w:r w:rsidDel="00000000" w:rsidR="00000000" w:rsidRPr="00000000">
        <w:rPr>
          <w:rFonts w:ascii="Times New Roman" w:cs="Times New Roman" w:eastAsia="Times New Roman" w:hAnsi="Times New Roman"/>
          <w:sz w:val="24"/>
          <w:szCs w:val="24"/>
          <w:rtl w:val="0"/>
        </w:rPr>
        <w:t xml:space="preserve"> policies (such as wearing a seatbelt) which are policies applied to ALL persons of a society for the wellbeing of a community (Anderson et al., 2018). </w:t>
        <w:tab/>
      </w:r>
    </w:p>
    <w:p w:rsidR="00000000" w:rsidDel="00000000" w:rsidP="00000000" w:rsidRDefault="00000000" w:rsidRPr="00000000" w14:paraId="0000002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Nurses must also be particularly knowledgeable about health policy. Health policy is ultimately policy that aims to improve the health outcomes of individuals and communities (Anderson et al., 2018). Health policy can occur on a smaller level- those enacted by a city or county specifically for residents in the community, or on a national level, pertaining to citizens throughout the United States (Anderson et al., 2018). Health policies are not mere suggestions serving as guidelines for a community (big or small) but rather dictate how healthcare is implemented by determining “what services are paid for and by whom, who is eligible to receive care, and who qualifies for financial assistance” (Anderson et al., 2018). This paper aims to describe health policy in the various levels of government, illustrate current public health policy issues, and describe stakeholders as well as the role of nurses as stakeholders in policy change.</w:t>
      </w:r>
    </w:p>
    <w:p w:rsidR="00000000" w:rsidDel="00000000" w:rsidP="00000000" w:rsidRDefault="00000000" w:rsidRPr="00000000" w14:paraId="0000002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a local level, health policy can make an immensely positive impact on members of a city or county. Montgomery County, Maryland, for example, has over 25 health clinics for the uninsured through a program known as “Montgomery Cares” (Montgomery County Department of Health and Human Services, 2024). These clinics can help residents obtain affordable health services without requiring health insurance. Patients who may not otherwise have the opportunity for preventative care can obtain the health care services they need to potentially prevent chronic disease and hospitalizations. This can not only save lives, but prevent burdensome financial strains on individuals and hospitals.  </w:t>
      </w:r>
    </w:p>
    <w:p w:rsidR="00000000" w:rsidDel="00000000" w:rsidP="00000000" w:rsidRDefault="00000000" w:rsidRPr="00000000" w14:paraId="0000002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a state level, health policy can help improve health equity throughout all parts of a state. The state of Maryland, for example, has the Maryland Health Equity Resource Act. Approved in 2021, this policy aims to “address health disparities, improve health outcomes, expand access to primary care and prevention services, and health reduce healthcare costs” by providing grants and state resources to high-risk areas of the state (Maryland Community Health Resources Commission, n.d.). Issues addressed using these resources include (but are not limited to) diabetes, substance abuse, obesity, mental health, and cardiovascular disease. This helps to create greater opportuny for improved healthcare outcomes for all residents throughout the state.</w:t>
      </w:r>
    </w:p>
    <w:p w:rsidR="00000000" w:rsidDel="00000000" w:rsidP="00000000" w:rsidRDefault="00000000" w:rsidRPr="00000000" w14:paraId="0000002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Perhaps the most well-known type of health policy in the United States occurs at the national level. Medicare, for example, is a policy that provides insurance coverage to Americans over the age of 65, as well as to those with particular medical disabilities such as Lou Gehrigs’s disease (ALS) or end-stage renal disease (U.S. Centers for Medicare and Medicaid Services, n.d.). Medicare Part A, assists with coverage of inpatient hospitalizations, treatment at skilled nursing facilities, as well as home health and hospice care while Medicare Part B helps with outpatient visits, durable medical equipment, and preventative services (U.S. Centers for Medicare and Medicaid Services, n.d.). This program is important because it helps vulnerable populations to more easily obtain the healthcare services they need. This can help reduce the burden of advanced age and chronic disease.</w:t>
      </w:r>
    </w:p>
    <w:p w:rsidR="00000000" w:rsidDel="00000000" w:rsidP="00000000" w:rsidRDefault="00000000" w:rsidRPr="00000000" w14:paraId="0000002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Medicaid, another well-known component of our nation’s national health care policy, helps high risk populations to acquire health insurance- typically those experiencing poverty (U.S. Centers for Medicare and Medicaid Services, 2024). While there are broad federal guidelines, each state has its own regulations (U.S. Centers for Medicare and Medicaid Services, 2024). Medicaid can help individuals of all ages with financial need to have access to the health care they need to thrive. </w:t>
      </w:r>
    </w:p>
    <w:p w:rsidR="00000000" w:rsidDel="00000000" w:rsidP="00000000" w:rsidRDefault="00000000" w:rsidRPr="00000000" w14:paraId="0000002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particular health policy may not look the same within different levels of government. According to the U.S. Center for Disease Control (2024), marijuana is still a schedule 1 substance- meaning there is a high risk for dependence and no acceptable medical use. However, state laws ultimately determine the legality of marijuana use. Some states, for example, have permitted medical use of marijuana. Within these states, the regulation can vary. Some states have comprehensive medical marijuana programs, while other states allow the use of CBD/low THC products only for particular medical conditions (CDC, 2024). Other states may allow medical and recreational use of marijuana, while some may entirely ban both medical and recreational marijuana use (CDC, 2024). </w:t>
      </w:r>
    </w:p>
    <w:p w:rsidR="00000000" w:rsidDel="00000000" w:rsidP="00000000" w:rsidRDefault="00000000" w:rsidRPr="00000000" w14:paraId="0000003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policy alone, without the proper support, may only stay on paper. The right people are needed for a policy to go into effect. This is where stakeholders enter the picture. According to Rabonowitz (n.d.) stakeholders are those who may have influence on or are affected by an effort. Primary stakeholders, for example, are those who are </w:t>
      </w:r>
      <w:r w:rsidDel="00000000" w:rsidR="00000000" w:rsidRPr="00000000">
        <w:rPr>
          <w:rFonts w:ascii="Times New Roman" w:cs="Times New Roman" w:eastAsia="Times New Roman" w:hAnsi="Times New Roman"/>
          <w:i w:val="1"/>
          <w:sz w:val="24"/>
          <w:szCs w:val="24"/>
          <w:rtl w:val="0"/>
        </w:rPr>
        <w:t xml:space="preserve">directly</w:t>
      </w:r>
      <w:r w:rsidDel="00000000" w:rsidR="00000000" w:rsidRPr="00000000">
        <w:rPr>
          <w:rFonts w:ascii="Times New Roman" w:cs="Times New Roman" w:eastAsia="Times New Roman" w:hAnsi="Times New Roman"/>
          <w:sz w:val="24"/>
          <w:szCs w:val="24"/>
          <w:rtl w:val="0"/>
        </w:rPr>
        <w:t xml:space="preserve"> affected by a plan or policy (Rabinowitz, n.d.). This may include individuals in a particular community or demographic- such as persons of a particular zip code, those experiencing poverty, those with chronic illness, or those with mental illness (Rabinowitz, n.d.). These would be considered the primary stakeholders because the policy would be targeted towards their particular group. Secondary stakeholders refer to those who have responsibility for or have direct involvement with beneficiaries of a proposed policy, and can include persons such as teachers, social workers, and physicians/nurses (Rabinowitz, n.d.). Secondary stakeholders can also refer to individuals whose lives and/or jobs may be affected by results of a policy, which could include persons such as police, EMS, or emergency room personnel (Rabinowitz, n.d.). There are also “key” stakeholders, who have strong influence over the ratification of a policy and/or strong community influence. This can include policy makers, government officials, clergy members, funders, and community activists (Rabinowitz, n.d.). </w:t>
      </w:r>
    </w:p>
    <w:p w:rsidR="00000000" w:rsidDel="00000000" w:rsidP="00000000" w:rsidRDefault="00000000" w:rsidRPr="00000000" w14:paraId="0000003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healthcare, there are many issues where stakeholders from various backgrounds are influential in changing public health policy. One issue receiving ample attention is mental health. This comes as no surprise when, according to the National Alliance on Mental Illness (2024) nearly 23% of Americans experienced mental illness in 2023. Key stakeholders such as policy makers on the local and federal government level are encouraged to enact laws to give mental health equal footing with standard medical care when it comes to coverage/availability, as well as offer incentives for professionals entering/specializing in the mental health fields. (American Public Health Association, 2024). Secondary stakeholders, such as healthcare professionals, can and should educate themselves on the mental health needs and resources in the communities they serve. </w:t>
      </w:r>
    </w:p>
    <w:p w:rsidR="00000000" w:rsidDel="00000000" w:rsidP="00000000" w:rsidRDefault="00000000" w:rsidRPr="00000000" w14:paraId="0000003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popular topic in public health policy is tobacco use. Local, state, and the federal government have been involved in improving health policy regarding purchase and use of tobacco. One such initiative, as part of the U.S. Department of Health and Human Services Healthy People 2030 program is a goal to increase the legal age of tobacco purchase to 21 and older (UDHHS, n.d.). As of 2023, 45 states (including Washington DC and US territories) have officially increased the legal age of tobacco purchase to 21 (UDHHS, n.d.). Stakeholders to aid in the change of health policy regarding tobacco use could include public health workers, law enforcement, educators, and policy makers from various levels of government. </w:t>
      </w:r>
    </w:p>
    <w:p w:rsidR="00000000" w:rsidDel="00000000" w:rsidP="00000000" w:rsidRDefault="00000000" w:rsidRPr="00000000" w14:paraId="0000003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nurse, it would be foolish to believe that we have no influence in public health policy. Nurses can play a vital role in establishing health policies to create a healthier community and world. A professional registered nurse, regardless of their specialty, should stay abreast in identifying health issues in their community. Anderson et al. (2018) suggest reading local news sources to have a particular understanding of the problems plaguing the communities where one lives and serves. Nurses should always be willing to be a voice for the voiceless. Anderson et al. (2018) point out the important task of nurses to advocate for their patients as a means of changing health policy. By learning the legislative process, nurses will be better equipped to advocate and have their voice heard (Anderson et al. 2018). After better understanding the legislative process (locally and federally) the nurse can then identify their representatives and make phone calls or write letters (Anderson et al. 2018). We also cannot forget the expertise nurses can provide as consultants when public health policies are being developed (Anderson et al. 2018). </w:t>
      </w:r>
    </w:p>
    <w:p w:rsidR="00000000" w:rsidDel="00000000" w:rsidP="00000000" w:rsidRDefault="00000000" w:rsidRPr="00000000" w14:paraId="0000003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Imagine, for example, a nurse or group of nurses were looking to reduce hospital readmission rates in the communities they serve. The first step, according to Anderson et al. (2018), would be to assess the situation.  Working with the informatics team and hospital administration (in a manner compliant with HIPAA), nurses could first aim to identify common threads among patients being re-admitted. What are the demographics? What are the most common diagnoses? The nurses, when doing this, find that the patients most frequently experiencing readmissions are those who do not speak English as a primary language. Upon finding this, the nurses contact local healthcare agencies (hospitals, clinics, etc.) to determine what policy (if any) is set in place while working with patients who speak a language other than English. These nurses find that many organizations do not have a formalized policy, and it is often family members or staff members who attempt to interpret, without having the proper credentials as certified medical interpreters. It could then be concluded that a lack of certified medical interpreters are creating misunderstandings/miscommunication with patient care, resulting in hospital readmissions.</w:t>
      </w:r>
    </w:p>
    <w:p w:rsidR="00000000" w:rsidDel="00000000" w:rsidP="00000000" w:rsidRDefault="00000000" w:rsidRPr="00000000" w14:paraId="0000003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that the problem has been identified, Anderson et al. (2018) suggest the beginning of policy formation. In this circumstances, the nurses may for example propose that all healthcare agencies in their city must offer a certified medical interpreter (either in person, or telephonic through a service such as Cyracom) when serving patients who are not fluent in English. The nurses first would be wise to do research in order to persuade individuals of the benefits of using certified interpreters to improve health outcomes. A study by Wiles et al. (2023), for example, found that use of interpretation services in healthcare reduced the risk of adverse events. </w:t>
      </w:r>
    </w:p>
    <w:p w:rsidR="00000000" w:rsidDel="00000000" w:rsidP="00000000" w:rsidRDefault="00000000" w:rsidRPr="00000000" w14:paraId="0000003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Anderson et al. (2018) suggest that the nurses </w:t>
      </w:r>
      <w:r w:rsidDel="00000000" w:rsidR="00000000" w:rsidRPr="00000000">
        <w:rPr>
          <w:rFonts w:ascii="Times New Roman" w:cs="Times New Roman" w:eastAsia="Times New Roman" w:hAnsi="Times New Roman"/>
          <w:sz w:val="24"/>
          <w:szCs w:val="24"/>
          <w:rtl w:val="0"/>
        </w:rPr>
        <w:t xml:space="preserve">identify who in</w:t>
      </w:r>
      <w:r w:rsidDel="00000000" w:rsidR="00000000" w:rsidRPr="00000000">
        <w:rPr>
          <w:rFonts w:ascii="Times New Roman" w:cs="Times New Roman" w:eastAsia="Times New Roman" w:hAnsi="Times New Roman"/>
          <w:sz w:val="24"/>
          <w:szCs w:val="24"/>
          <w:rtl w:val="0"/>
        </w:rPr>
        <w:t xml:space="preserve"> their society would play a key role in implementing such a policy. To begin, they could identify and reach out to administration of healthcare entities in their community. If they wish to make this a city-wide policy, they should also identify and reach out to city government officials (Anderson et al. 2018). Using the data they have researched, they can make a case and have a better chance of having their proposal being implemented. </w:t>
      </w:r>
    </w:p>
    <w:p w:rsidR="00000000" w:rsidDel="00000000" w:rsidP="00000000" w:rsidRDefault="00000000" w:rsidRPr="00000000" w14:paraId="0000003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next step, according to Anderson et al. (2018) is policy adoption, which involves establishing rules and regulations in order to keep the policy practical and sustainable. In order to determine if staff members will use certified interpreters according to policy, a rule could be set in place that medical professionals must include in their documentation the name and/or interpreter ID # of the certified interpreter they used when communicating with a patient and/or family. This will help to determine if staff members are being compliant with the policy. </w:t>
      </w:r>
    </w:p>
    <w:p w:rsidR="00000000" w:rsidDel="00000000" w:rsidP="00000000" w:rsidRDefault="00000000" w:rsidRPr="00000000" w14:paraId="0000003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Anderson et al. (2018) propose budgeting as the fourth step of public health policy implementation. It must be considered what the cost will be to either keep in-person interpreters available in-house or on-call, or what it would cost to implement multi-language interpretation services such as Cyracom. Given the costly financial burden of re-admissions on a health care system, a healthcare agency may be inclined to make the necessary sacrifices if it will result in decreased financial burden in the future. Non-profit healthcare agencies may consider applying for grants or hosting fundraisers in order to be able to provide the necessary interpretation services. </w:t>
      </w:r>
    </w:p>
    <w:p w:rsidR="00000000" w:rsidDel="00000000" w:rsidP="00000000" w:rsidRDefault="00000000" w:rsidRPr="00000000" w14:paraId="0000003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final step, according to Anderson et al. (2018) is policy evaluation. Policy evaluation is essential to see the strengths and weaknesses of a policy and provide continued improvement. Once the policy has been initiated, the team should work with quality and compliance specialists within the local healthcare agencies (in a HIPAA compliant manner) to perform chart reviews and determine how regularly certified interpreters are being used per policy. The team can also re-evaluate hospital readmission rates at regular intervals after the implementation, such as annually or bi-annually. This will help determine if there has been a correlation between use of certified interpreters and hospital readmission rates. </w:t>
      </w:r>
    </w:p>
    <w:p w:rsidR="00000000" w:rsidDel="00000000" w:rsidP="00000000" w:rsidRDefault="00000000" w:rsidRPr="00000000" w14:paraId="0000003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can see, then, that policy is not merely a realm for those in ivory towers, but rather for all those on the forefront of serving society. Proper policy, whether occurring at an organizational, local government, state government, or federal government level, can create stronger, healthier, and more equitable communities. Through their day to day duties serving and seeing the areas of vulnerability in their community, nurses can and should serve as true change agents that can inspire and transform policy for a more stable society and world. </w:t>
      </w:r>
    </w:p>
    <w:p w:rsidR="00000000" w:rsidDel="00000000" w:rsidP="00000000" w:rsidRDefault="00000000" w:rsidRPr="00000000" w14:paraId="0000003B">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480" w:lineRule="auto"/>
        <w:ind w:left="0" w:firstLine="72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480" w:lineRule="auto"/>
        <w:ind w:left="0" w:firstLine="72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480" w:lineRule="auto"/>
        <w:ind w:left="0" w:firstLine="72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480" w:lineRule="auto"/>
        <w:ind w:left="0" w:firstLine="72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spacing w:line="480" w:lineRule="auto"/>
        <w:ind w:left="0"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References</w:t>
      </w:r>
    </w:p>
    <w:p w:rsidR="00000000" w:rsidDel="00000000" w:rsidP="00000000" w:rsidRDefault="00000000" w:rsidRPr="00000000" w14:paraId="00000043">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American Public Health Association. (2024). Mental health. https://www.apha.org/topics-and-issues/mental-health</w:t>
      </w:r>
    </w:p>
    <w:p w:rsidR="00000000" w:rsidDel="00000000" w:rsidP="00000000" w:rsidRDefault="00000000" w:rsidRPr="00000000" w14:paraId="00000044">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Maryland Department of Health Maryland Community Health Resources Commission. (2024). </w:t>
      </w:r>
      <w:r w:rsidDel="00000000" w:rsidR="00000000" w:rsidRPr="00000000">
        <w:rPr>
          <w:rFonts w:ascii="Times New Roman" w:cs="Times New Roman" w:eastAsia="Times New Roman" w:hAnsi="Times New Roman"/>
          <w:i w:val="1"/>
          <w:sz w:val="20"/>
          <w:szCs w:val="20"/>
          <w:rtl w:val="0"/>
        </w:rPr>
        <w:t xml:space="preserve">Health Equity Resources Communities</w:t>
      </w:r>
      <w:r w:rsidDel="00000000" w:rsidR="00000000" w:rsidRPr="00000000">
        <w:rPr>
          <w:rFonts w:ascii="Times New Roman" w:cs="Times New Roman" w:eastAsia="Times New Roman" w:hAnsi="Times New Roman"/>
          <w:sz w:val="20"/>
          <w:szCs w:val="20"/>
          <w:rtl w:val="0"/>
        </w:rPr>
        <w:t xml:space="preserve">. Maryland.gov . https://health.maryland.gov/mchrc/Pages/herc.aspx</w:t>
      </w:r>
    </w:p>
    <w:p w:rsidR="00000000" w:rsidDel="00000000" w:rsidP="00000000" w:rsidRDefault="00000000" w:rsidRPr="00000000" w14:paraId="00000045">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Montgomery Cares</w:t>
      </w:r>
      <w:r w:rsidDel="00000000" w:rsidR="00000000" w:rsidRPr="00000000">
        <w:rPr>
          <w:rFonts w:ascii="Times New Roman" w:cs="Times New Roman" w:eastAsia="Times New Roman" w:hAnsi="Times New Roman"/>
          <w:sz w:val="20"/>
          <w:szCs w:val="20"/>
          <w:rtl w:val="0"/>
        </w:rPr>
        <w:t xml:space="preserve">. Montgomery County Department of Health and Human Services - Public Health Services - Montgomery Cares Clinic Locations. (2024). https://www.montgomerycountymd.gov/HHS-Program/PHS/MontCares/MCLocations.html</w:t>
      </w:r>
    </w:p>
    <w:p w:rsidR="00000000" w:rsidDel="00000000" w:rsidP="00000000" w:rsidRDefault="00000000" w:rsidRPr="00000000" w14:paraId="00000046">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National Alliance on Mental Illness. (2024, September 17). </w:t>
      </w:r>
      <w:r w:rsidDel="00000000" w:rsidR="00000000" w:rsidRPr="00000000">
        <w:rPr>
          <w:rFonts w:ascii="Times New Roman" w:cs="Times New Roman" w:eastAsia="Times New Roman" w:hAnsi="Times New Roman"/>
          <w:i w:val="1"/>
          <w:sz w:val="20"/>
          <w:szCs w:val="20"/>
          <w:rtl w:val="0"/>
        </w:rPr>
        <w:t xml:space="preserve">Mental health by the numbers</w:t>
      </w:r>
      <w:r w:rsidDel="00000000" w:rsidR="00000000" w:rsidRPr="00000000">
        <w:rPr>
          <w:rFonts w:ascii="Times New Roman" w:cs="Times New Roman" w:eastAsia="Times New Roman" w:hAnsi="Times New Roman"/>
          <w:sz w:val="20"/>
          <w:szCs w:val="20"/>
          <w:rtl w:val="0"/>
        </w:rPr>
        <w:t xml:space="preserve">. NAMI. https://www.nami.org/about-mental-illness/mental-health-by-the-numbers/#:~:text=Millions%20of%20people%20are%20affected,represents%201%20in%205%20adults.</w:t>
      </w:r>
    </w:p>
    <w:p w:rsidR="00000000" w:rsidDel="00000000" w:rsidP="00000000" w:rsidRDefault="00000000" w:rsidRPr="00000000" w14:paraId="00000047">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Rabinowitz, P. (n.d.). </w:t>
      </w:r>
      <w:r w:rsidDel="00000000" w:rsidR="00000000" w:rsidRPr="00000000">
        <w:rPr>
          <w:rFonts w:ascii="Times New Roman" w:cs="Times New Roman" w:eastAsia="Times New Roman" w:hAnsi="Times New Roman"/>
          <w:i w:val="1"/>
          <w:sz w:val="20"/>
          <w:szCs w:val="20"/>
          <w:rtl w:val="0"/>
        </w:rPr>
        <w:t xml:space="preserve">Section 8. identifying and analyzing stakeholders and their interests</w:t>
      </w:r>
      <w:r w:rsidDel="00000000" w:rsidR="00000000" w:rsidRPr="00000000">
        <w:rPr>
          <w:rFonts w:ascii="Times New Roman" w:cs="Times New Roman" w:eastAsia="Times New Roman" w:hAnsi="Times New Roman"/>
          <w:sz w:val="20"/>
          <w:szCs w:val="20"/>
          <w:rtl w:val="0"/>
        </w:rPr>
        <w:t xml:space="preserve">. Chapter 7. Encouraging Involvement in Community Work | Section 8. Identifying and Analyzing Stakeholders and Their Interests | Main Section | Community Tool Box. https://ctb.ku.edu/en/table-of-contents/participation/encouraging-involvement/identify-stakeholders/main</w:t>
      </w:r>
    </w:p>
    <w:p w:rsidR="00000000" w:rsidDel="00000000" w:rsidP="00000000" w:rsidRDefault="00000000" w:rsidRPr="00000000" w14:paraId="00000048">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 Centers for Medicare and Medicaid Services. (2024). </w:t>
      </w:r>
      <w:r w:rsidDel="00000000" w:rsidR="00000000" w:rsidRPr="00000000">
        <w:rPr>
          <w:rFonts w:ascii="Times New Roman" w:cs="Times New Roman" w:eastAsia="Times New Roman" w:hAnsi="Times New Roman"/>
          <w:i w:val="1"/>
          <w:sz w:val="20"/>
          <w:szCs w:val="20"/>
          <w:rtl w:val="0"/>
        </w:rPr>
        <w:t xml:space="preserve">Medicaid</w:t>
      </w:r>
      <w:r w:rsidDel="00000000" w:rsidR="00000000" w:rsidRPr="00000000">
        <w:rPr>
          <w:rFonts w:ascii="Times New Roman" w:cs="Times New Roman" w:eastAsia="Times New Roman" w:hAnsi="Times New Roman"/>
          <w:sz w:val="20"/>
          <w:szCs w:val="20"/>
          <w:rtl w:val="0"/>
        </w:rPr>
        <w:t xml:space="preserve">. Medicaid Basics for Partners: Eligibility, Enrollment, and Renewals. https://www.medicaid.gov/resources-for-states/downloads/medicaid-basic-for-partners.pdf</w:t>
      </w:r>
    </w:p>
    <w:p w:rsidR="00000000" w:rsidDel="00000000" w:rsidP="00000000" w:rsidRDefault="00000000" w:rsidRPr="00000000" w14:paraId="00000049">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 Centers for Medicare and Medicaid Services. (n.d.-a). </w:t>
      </w:r>
      <w:r w:rsidDel="00000000" w:rsidR="00000000" w:rsidRPr="00000000">
        <w:rPr>
          <w:rFonts w:ascii="Times New Roman" w:cs="Times New Roman" w:eastAsia="Times New Roman" w:hAnsi="Times New Roman"/>
          <w:i w:val="1"/>
          <w:sz w:val="20"/>
          <w:szCs w:val="20"/>
          <w:rtl w:val="0"/>
        </w:rPr>
        <w:t xml:space="preserve">Get started with Medicare</w:t>
      </w:r>
      <w:r w:rsidDel="00000000" w:rsidR="00000000" w:rsidRPr="00000000">
        <w:rPr>
          <w:rFonts w:ascii="Times New Roman" w:cs="Times New Roman" w:eastAsia="Times New Roman" w:hAnsi="Times New Roman"/>
          <w:sz w:val="20"/>
          <w:szCs w:val="20"/>
          <w:rtl w:val="0"/>
        </w:rPr>
        <w:t xml:space="preserve">. Medicare. https://www.medicare.gov/basics/get-started-with-medicare</w:t>
      </w:r>
    </w:p>
    <w:p w:rsidR="00000000" w:rsidDel="00000000" w:rsidP="00000000" w:rsidRDefault="00000000" w:rsidRPr="00000000" w14:paraId="0000004A">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 Centers for Medicare and Medicaid Services. (n.d.-b). </w:t>
      </w:r>
      <w:r w:rsidDel="00000000" w:rsidR="00000000" w:rsidRPr="00000000">
        <w:rPr>
          <w:rFonts w:ascii="Times New Roman" w:cs="Times New Roman" w:eastAsia="Times New Roman" w:hAnsi="Times New Roman"/>
          <w:i w:val="1"/>
          <w:sz w:val="20"/>
          <w:szCs w:val="20"/>
          <w:rtl w:val="0"/>
        </w:rPr>
        <w:t xml:space="preserve">Parts of Medicare</w:t>
      </w:r>
      <w:r w:rsidDel="00000000" w:rsidR="00000000" w:rsidRPr="00000000">
        <w:rPr>
          <w:rFonts w:ascii="Times New Roman" w:cs="Times New Roman" w:eastAsia="Times New Roman" w:hAnsi="Times New Roman"/>
          <w:sz w:val="20"/>
          <w:szCs w:val="20"/>
          <w:rtl w:val="0"/>
        </w:rPr>
        <w:t xml:space="preserve">. Medicare. https://www.medicare.gov/basics/get-started-with-medicare/medicare-basics/parts-of-medicare</w:t>
      </w:r>
    </w:p>
    <w:p w:rsidR="00000000" w:rsidDel="00000000" w:rsidP="00000000" w:rsidRDefault="00000000" w:rsidRPr="00000000" w14:paraId="0000004B">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 Department of Health and Human Services. (n.d.). </w:t>
      </w:r>
      <w:r w:rsidDel="00000000" w:rsidR="00000000" w:rsidRPr="00000000">
        <w:rPr>
          <w:rFonts w:ascii="Times New Roman" w:cs="Times New Roman" w:eastAsia="Times New Roman" w:hAnsi="Times New Roman"/>
          <w:i w:val="1"/>
          <w:sz w:val="20"/>
          <w:szCs w:val="20"/>
          <w:rtl w:val="0"/>
        </w:rPr>
        <w:t xml:space="preserve">Health policy</w:t>
      </w:r>
      <w:r w:rsidDel="00000000" w:rsidR="00000000" w:rsidRPr="00000000">
        <w:rPr>
          <w:rFonts w:ascii="Times New Roman" w:cs="Times New Roman" w:eastAsia="Times New Roman" w:hAnsi="Times New Roman"/>
          <w:sz w:val="20"/>
          <w:szCs w:val="20"/>
          <w:rtl w:val="0"/>
        </w:rPr>
        <w:t xml:space="preserve">. Health Policy - Healthy People 2030. https://odphp.health.gov/healthypeople/objectives-and-data/browse-objectives/health-policy</w:t>
      </w:r>
    </w:p>
    <w:p w:rsidR="00000000" w:rsidDel="00000000" w:rsidP="00000000" w:rsidRDefault="00000000" w:rsidRPr="00000000" w14:paraId="0000004C">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 Department of Health and Human Services. (n.d.). </w:t>
      </w:r>
      <w:r w:rsidDel="00000000" w:rsidR="00000000" w:rsidRPr="00000000">
        <w:rPr>
          <w:rFonts w:ascii="Times New Roman" w:cs="Times New Roman" w:eastAsia="Times New Roman" w:hAnsi="Times New Roman"/>
          <w:i w:val="1"/>
          <w:sz w:val="20"/>
          <w:szCs w:val="20"/>
          <w:rtl w:val="0"/>
        </w:rPr>
        <w:t xml:space="preserve">Increase the number of states, territories, and DC that raise the minimum age for tobacco sales to 21 years - TU‑23</w:t>
      </w:r>
      <w:r w:rsidDel="00000000" w:rsidR="00000000" w:rsidRPr="00000000">
        <w:rPr>
          <w:rFonts w:ascii="Times New Roman" w:cs="Times New Roman" w:eastAsia="Times New Roman" w:hAnsi="Times New Roman"/>
          <w:sz w:val="20"/>
          <w:szCs w:val="20"/>
          <w:rtl w:val="0"/>
        </w:rPr>
        <w:t xml:space="preserve">. Increase the number of states, territories, and DC that raise the minimum age for tobacco sales to 21 years - TU‑23 - Healthy People 2030. https://odphp.health.gov/healthypeople/objectives-and-data/browse-objectives/tobacco-use/increase-number-states-territories-and-dc-raise-minimum-age-tobacco-sales-21-years-tu-23</w:t>
      </w:r>
    </w:p>
    <w:p w:rsidR="00000000" w:rsidDel="00000000" w:rsidP="00000000" w:rsidRDefault="00000000" w:rsidRPr="00000000" w14:paraId="0000004D">
      <w:pPr>
        <w:spacing w:after="240" w:before="24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Woltenberg, L., Wiles, I., Tariq, A., Karasneh, G., Summerville, D., &amp; Tovar, D. (2023). The effects of interpreter utilization on patient outcomes: A Contemporary Literature Review. </w:t>
      </w:r>
      <w:r w:rsidDel="00000000" w:rsidR="00000000" w:rsidRPr="00000000">
        <w:rPr>
          <w:rFonts w:ascii="Times New Roman" w:cs="Times New Roman" w:eastAsia="Times New Roman" w:hAnsi="Times New Roman"/>
          <w:i w:val="1"/>
          <w:sz w:val="20"/>
          <w:szCs w:val="20"/>
          <w:rtl w:val="0"/>
        </w:rPr>
        <w:t xml:space="preserve">Education in the Health Professions</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6</w:t>
      </w:r>
      <w:r w:rsidDel="00000000" w:rsidR="00000000" w:rsidRPr="00000000">
        <w:rPr>
          <w:rFonts w:ascii="Times New Roman" w:cs="Times New Roman" w:eastAsia="Times New Roman" w:hAnsi="Times New Roman"/>
          <w:sz w:val="20"/>
          <w:szCs w:val="20"/>
          <w:rtl w:val="0"/>
        </w:rPr>
        <w:t xml:space="preserve">(2). https://doi.org/10.4103/ehp.ehp_4_23 </w:t>
      </w:r>
    </w:p>
    <w:p w:rsidR="00000000" w:rsidDel="00000000" w:rsidP="00000000" w:rsidRDefault="00000000" w:rsidRPr="00000000" w14:paraId="0000004E">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ind w:left="0" w:firstLine="0"/>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2">
    <w:pPr>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